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D085DE" w14:textId="41F80711" w:rsidR="00D6379C" w:rsidRDefault="00D6379C" w:rsidP="00D6379C">
      <w:bookmarkStart w:id="0" w:name="_Toc508279636"/>
      <w:bookmarkStart w:id="1" w:name="_GoBack"/>
      <w:bookmarkEnd w:id="1"/>
      <w:r>
        <w:rPr>
          <w:noProof/>
          <w:lang w:eastAsia="es-MX"/>
        </w:rPr>
        <w:drawing>
          <wp:inline distT="0" distB="0" distL="0" distR="0" wp14:anchorId="6333F356" wp14:editId="5E50166C">
            <wp:extent cx="6151880" cy="3458845"/>
            <wp:effectExtent l="0" t="0" r="1270" b="8255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51880" cy="3458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19DC50" w14:textId="6A7D8908" w:rsidR="00D6379C" w:rsidRPr="00D6379C" w:rsidRDefault="00A970B1" w:rsidP="00D6379C">
      <w:r>
        <w:t>Con esta acción, se culminó la fusión entrega – recepción del patrimonio registrado en SAPAL-Rural, para su integración en los registros del SAPAL.</w:t>
      </w:r>
    </w:p>
    <w:p w14:paraId="7902A566" w14:textId="2E2CE23B" w:rsidR="003F2251" w:rsidRPr="000C3365" w:rsidRDefault="003F2251" w:rsidP="003F2251">
      <w:pPr>
        <w:pStyle w:val="Ttulo2"/>
        <w:rPr>
          <w:rFonts w:asciiTheme="minorHAnsi" w:hAnsiTheme="minorHAnsi" w:cstheme="minorHAnsi"/>
          <w:b/>
          <w:color w:val="auto"/>
          <w:sz w:val="22"/>
        </w:rPr>
      </w:pPr>
      <w:r w:rsidRPr="000C3365">
        <w:rPr>
          <w:rFonts w:asciiTheme="minorHAnsi" w:hAnsiTheme="minorHAnsi" w:cstheme="minorHAnsi"/>
          <w:b/>
          <w:color w:val="auto"/>
          <w:sz w:val="22"/>
        </w:rPr>
        <w:t>16. Partes Relacionadas:</w:t>
      </w:r>
      <w:bookmarkEnd w:id="0"/>
    </w:p>
    <w:p w14:paraId="75902BB8" w14:textId="77777777" w:rsidR="003F2251" w:rsidRPr="00E74967" w:rsidRDefault="003F2251" w:rsidP="003F2251">
      <w:pPr>
        <w:tabs>
          <w:tab w:val="left" w:leader="underscore" w:pos="9639"/>
        </w:tabs>
        <w:spacing w:after="0" w:line="240" w:lineRule="auto"/>
        <w:jc w:val="both"/>
        <w:rPr>
          <w:rFonts w:cs="Calibri"/>
        </w:rPr>
      </w:pPr>
    </w:p>
    <w:p w14:paraId="36EA20D0" w14:textId="77777777" w:rsidR="003F2251" w:rsidRPr="00E74967" w:rsidRDefault="003F2251" w:rsidP="003F2251">
      <w:pPr>
        <w:tabs>
          <w:tab w:val="left" w:leader="underscore" w:pos="9639"/>
        </w:tabs>
        <w:spacing w:after="0" w:line="240" w:lineRule="auto"/>
        <w:jc w:val="both"/>
        <w:rPr>
          <w:rFonts w:cs="Calibri"/>
        </w:rPr>
      </w:pPr>
      <w:r w:rsidRPr="00E74967">
        <w:rPr>
          <w:rFonts w:cs="Calibri"/>
        </w:rPr>
        <w:t>Se debe establecer por escrito que no existen partes relacionadas que pudieran ejercer influencia significativa sobre la toma de decisiones financieras y operativas:</w:t>
      </w:r>
    </w:p>
    <w:p w14:paraId="4EF9A5DA" w14:textId="77777777" w:rsidR="003F2251" w:rsidRDefault="003F2251" w:rsidP="003F2251">
      <w:pPr>
        <w:tabs>
          <w:tab w:val="left" w:leader="underscore" w:pos="9639"/>
        </w:tabs>
        <w:spacing w:after="0" w:line="240" w:lineRule="auto"/>
        <w:jc w:val="both"/>
        <w:rPr>
          <w:rFonts w:cs="Calibri"/>
        </w:rPr>
      </w:pPr>
    </w:p>
    <w:p w14:paraId="5A5C7150" w14:textId="77777777" w:rsidR="003F2251" w:rsidRPr="0070461A" w:rsidRDefault="003F2251" w:rsidP="003F2251">
      <w:pPr>
        <w:spacing w:after="0" w:line="240" w:lineRule="auto"/>
        <w:jc w:val="both"/>
        <w:rPr>
          <w:rFonts w:cs="Calibri"/>
          <w:szCs w:val="24"/>
        </w:rPr>
      </w:pPr>
      <w:r w:rsidRPr="00CB1F6A">
        <w:rPr>
          <w:rFonts w:cs="Calibri"/>
          <w:szCs w:val="24"/>
        </w:rPr>
        <w:t>No se tienen operaciones con partes relacionadas</w:t>
      </w:r>
    </w:p>
    <w:p w14:paraId="2773F117" w14:textId="77777777" w:rsidR="003F2251" w:rsidRPr="00E74967" w:rsidRDefault="003F2251" w:rsidP="003F2251">
      <w:pPr>
        <w:tabs>
          <w:tab w:val="left" w:leader="underscore" w:pos="9639"/>
        </w:tabs>
        <w:spacing w:after="0" w:line="240" w:lineRule="auto"/>
        <w:jc w:val="both"/>
        <w:rPr>
          <w:rFonts w:cs="Calibri"/>
        </w:rPr>
      </w:pPr>
    </w:p>
    <w:p w14:paraId="3BD5D501" w14:textId="77777777" w:rsidR="003F2251" w:rsidRPr="00F46719" w:rsidRDefault="003F2251" w:rsidP="003F2251">
      <w:pPr>
        <w:pStyle w:val="Ttulo2"/>
        <w:rPr>
          <w:rFonts w:asciiTheme="minorHAnsi" w:hAnsiTheme="minorHAnsi" w:cstheme="minorHAnsi"/>
          <w:b/>
          <w:color w:val="auto"/>
          <w:sz w:val="22"/>
        </w:rPr>
      </w:pPr>
      <w:bookmarkStart w:id="2" w:name="_Toc508279637"/>
      <w:r w:rsidRPr="00F46719">
        <w:rPr>
          <w:rFonts w:asciiTheme="minorHAnsi" w:hAnsiTheme="minorHAnsi" w:cstheme="minorHAnsi"/>
          <w:b/>
          <w:color w:val="auto"/>
          <w:sz w:val="22"/>
        </w:rPr>
        <w:t>17. Responsabilidad Sobre la Presentación Razonable de la Información Contable:</w:t>
      </w:r>
      <w:bookmarkEnd w:id="2"/>
    </w:p>
    <w:p w14:paraId="15594ACD" w14:textId="77777777" w:rsidR="003F2251" w:rsidRPr="00E74967" w:rsidRDefault="003F2251" w:rsidP="003F2251">
      <w:pPr>
        <w:tabs>
          <w:tab w:val="left" w:leader="underscore" w:pos="9639"/>
        </w:tabs>
        <w:spacing w:after="0" w:line="240" w:lineRule="auto"/>
        <w:jc w:val="both"/>
        <w:rPr>
          <w:rFonts w:cs="Calibri"/>
        </w:rPr>
      </w:pPr>
    </w:p>
    <w:p w14:paraId="1D97603C" w14:textId="77777777" w:rsidR="003F2251" w:rsidRPr="00E74967" w:rsidRDefault="003F2251" w:rsidP="003F2251">
      <w:pPr>
        <w:tabs>
          <w:tab w:val="left" w:leader="underscore" w:pos="9639"/>
        </w:tabs>
        <w:spacing w:after="0" w:line="240" w:lineRule="auto"/>
        <w:jc w:val="both"/>
        <w:rPr>
          <w:rFonts w:cs="Calibri"/>
        </w:rPr>
      </w:pPr>
      <w:r w:rsidRPr="001973A2">
        <w:rPr>
          <w:rFonts w:cs="Calibri"/>
        </w:rPr>
        <w:t xml:space="preserve">La Información Contable </w:t>
      </w:r>
      <w:r>
        <w:rPr>
          <w:rFonts w:cs="Calibri"/>
        </w:rPr>
        <w:t xml:space="preserve">está </w:t>
      </w:r>
      <w:r w:rsidRPr="001973A2">
        <w:rPr>
          <w:rFonts w:cs="Calibri"/>
        </w:rPr>
        <w:t>firmada en cada página de la misma</w:t>
      </w:r>
      <w:r>
        <w:rPr>
          <w:rFonts w:cs="Calibri"/>
        </w:rPr>
        <w:t xml:space="preserve"> y se </w:t>
      </w:r>
      <w:r w:rsidRPr="001973A2">
        <w:rPr>
          <w:rFonts w:cs="Calibri"/>
        </w:rPr>
        <w:t>inclu</w:t>
      </w:r>
      <w:r>
        <w:rPr>
          <w:rFonts w:cs="Calibri"/>
        </w:rPr>
        <w:t>ye</w:t>
      </w:r>
      <w:r w:rsidRPr="001973A2">
        <w:rPr>
          <w:rFonts w:cs="Calibri"/>
        </w:rPr>
        <w:t xml:space="preserve"> al final la siguiente leyenda: “Bajo protesta de decir verdad declaramos que los Estados Financieros y sus notas, son razonablemente correctos y son responsabilidad del emisor”. Lo anterior, no </w:t>
      </w:r>
      <w:r>
        <w:rPr>
          <w:rFonts w:cs="Calibri"/>
        </w:rPr>
        <w:t>es</w:t>
      </w:r>
      <w:r w:rsidRPr="001973A2">
        <w:rPr>
          <w:rFonts w:cs="Calibri"/>
        </w:rPr>
        <w:t xml:space="preserve"> aplicable para la información contable consolidada.</w:t>
      </w:r>
    </w:p>
    <w:p w14:paraId="185CE4A5" w14:textId="77777777" w:rsidR="00986380" w:rsidRDefault="00986380" w:rsidP="00986380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FF0000"/>
          <w:sz w:val="20"/>
          <w:szCs w:val="20"/>
          <w:lang w:eastAsia="es-MX"/>
        </w:rPr>
      </w:pPr>
    </w:p>
    <w:p w14:paraId="53539565" w14:textId="7AFF45F2" w:rsidR="003F2251" w:rsidRDefault="00986380" w:rsidP="00986380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MX"/>
        </w:rPr>
      </w:pPr>
      <w:r w:rsidRPr="00986380">
        <w:rPr>
          <w:rFonts w:asciiTheme="minorHAnsi" w:hAnsiTheme="minorHAnsi" w:cstheme="minorHAnsi"/>
          <w:lang w:eastAsia="es-MX"/>
        </w:rPr>
        <w:t xml:space="preserve">Los estados financieros adjuntos y las presentes notas fueron </w:t>
      </w:r>
      <w:r w:rsidR="000A294B">
        <w:rPr>
          <w:rFonts w:asciiTheme="minorHAnsi" w:hAnsiTheme="minorHAnsi" w:cstheme="minorHAnsi"/>
          <w:lang w:eastAsia="es-MX"/>
        </w:rPr>
        <w:t>elaborado</w:t>
      </w:r>
      <w:r w:rsidRPr="00986380">
        <w:rPr>
          <w:rFonts w:asciiTheme="minorHAnsi" w:hAnsiTheme="minorHAnsi" w:cstheme="minorHAnsi"/>
          <w:lang w:eastAsia="es-MX"/>
        </w:rPr>
        <w:t>s para su emisión por los</w:t>
      </w:r>
      <w:r>
        <w:rPr>
          <w:rFonts w:asciiTheme="minorHAnsi" w:hAnsiTheme="minorHAnsi" w:cstheme="minorHAnsi"/>
          <w:lang w:eastAsia="es-MX"/>
        </w:rPr>
        <w:t xml:space="preserve"> </w:t>
      </w:r>
      <w:r w:rsidRPr="00986380">
        <w:rPr>
          <w:rFonts w:asciiTheme="minorHAnsi" w:hAnsiTheme="minorHAnsi" w:cstheme="minorHAnsi"/>
          <w:lang w:eastAsia="es-MX"/>
        </w:rPr>
        <w:t>funcionarios Ing. Enrique de Haro Maldonado (Director General del SAPAL-Rural) y C.P. Luis Enrique</w:t>
      </w:r>
      <w:r>
        <w:rPr>
          <w:rFonts w:asciiTheme="minorHAnsi" w:hAnsiTheme="minorHAnsi" w:cstheme="minorHAnsi"/>
          <w:lang w:eastAsia="es-MX"/>
        </w:rPr>
        <w:t xml:space="preserve"> </w:t>
      </w:r>
      <w:r w:rsidRPr="00986380">
        <w:rPr>
          <w:rFonts w:asciiTheme="minorHAnsi" w:hAnsiTheme="minorHAnsi" w:cstheme="minorHAnsi"/>
          <w:lang w:eastAsia="es-MX"/>
        </w:rPr>
        <w:t>Hern</w:t>
      </w:r>
      <w:r>
        <w:rPr>
          <w:rFonts w:asciiTheme="minorHAnsi" w:hAnsiTheme="minorHAnsi" w:cstheme="minorHAnsi"/>
          <w:lang w:eastAsia="es-MX"/>
        </w:rPr>
        <w:t>á</w:t>
      </w:r>
      <w:r w:rsidRPr="00986380">
        <w:rPr>
          <w:rFonts w:asciiTheme="minorHAnsi" w:hAnsiTheme="minorHAnsi" w:cstheme="minorHAnsi"/>
          <w:lang w:eastAsia="es-MX"/>
        </w:rPr>
        <w:t xml:space="preserve">ndez </w:t>
      </w:r>
      <w:proofErr w:type="spellStart"/>
      <w:r w:rsidRPr="00986380">
        <w:rPr>
          <w:rFonts w:asciiTheme="minorHAnsi" w:hAnsiTheme="minorHAnsi" w:cstheme="minorHAnsi"/>
          <w:lang w:eastAsia="es-MX"/>
        </w:rPr>
        <w:t>Hern</w:t>
      </w:r>
      <w:r>
        <w:rPr>
          <w:rFonts w:asciiTheme="minorHAnsi" w:hAnsiTheme="minorHAnsi" w:cstheme="minorHAnsi"/>
          <w:lang w:eastAsia="es-MX"/>
        </w:rPr>
        <w:t>á</w:t>
      </w:r>
      <w:r w:rsidRPr="00986380">
        <w:rPr>
          <w:rFonts w:asciiTheme="minorHAnsi" w:hAnsiTheme="minorHAnsi" w:cstheme="minorHAnsi"/>
          <w:lang w:eastAsia="es-MX"/>
        </w:rPr>
        <w:t>ndez</w:t>
      </w:r>
      <w:proofErr w:type="spellEnd"/>
      <w:r w:rsidRPr="00986380">
        <w:rPr>
          <w:rFonts w:asciiTheme="minorHAnsi" w:hAnsiTheme="minorHAnsi" w:cstheme="minorHAnsi"/>
          <w:lang w:eastAsia="es-MX"/>
        </w:rPr>
        <w:t xml:space="preserve"> (Jefe de Administración Financiera y Comercial), el 14 de Septiembre de 2020, y</w:t>
      </w:r>
      <w:r>
        <w:rPr>
          <w:rFonts w:asciiTheme="minorHAnsi" w:hAnsiTheme="minorHAnsi" w:cstheme="minorHAnsi"/>
          <w:lang w:eastAsia="es-MX"/>
        </w:rPr>
        <w:t xml:space="preserve"> </w:t>
      </w:r>
      <w:r w:rsidRPr="00986380">
        <w:rPr>
          <w:rFonts w:asciiTheme="minorHAnsi" w:hAnsiTheme="minorHAnsi" w:cstheme="minorHAnsi"/>
          <w:lang w:eastAsia="es-MX"/>
        </w:rPr>
        <w:t>están sujetos a la aprobación del Consejo Directivo de SAPAL RURAL, quien puede decidir su modificación</w:t>
      </w:r>
      <w:r>
        <w:rPr>
          <w:rFonts w:asciiTheme="minorHAnsi" w:hAnsiTheme="minorHAnsi" w:cstheme="minorHAnsi"/>
          <w:lang w:eastAsia="es-MX"/>
        </w:rPr>
        <w:t xml:space="preserve"> </w:t>
      </w:r>
      <w:r w:rsidRPr="00986380">
        <w:rPr>
          <w:rFonts w:asciiTheme="minorHAnsi" w:hAnsiTheme="minorHAnsi" w:cstheme="minorHAnsi"/>
          <w:lang w:eastAsia="es-MX"/>
        </w:rPr>
        <w:t>de acuerdo con lo dispuesto en el Reglamento de los Servicios de Agua Potable, Alcantarillado y</w:t>
      </w:r>
      <w:r>
        <w:rPr>
          <w:rFonts w:asciiTheme="minorHAnsi" w:hAnsiTheme="minorHAnsi" w:cstheme="minorHAnsi"/>
          <w:lang w:eastAsia="es-MX"/>
        </w:rPr>
        <w:t xml:space="preserve"> </w:t>
      </w:r>
      <w:r w:rsidRPr="00986380">
        <w:rPr>
          <w:rFonts w:asciiTheme="minorHAnsi" w:hAnsiTheme="minorHAnsi" w:cstheme="minorHAnsi"/>
          <w:lang w:eastAsia="es-MX"/>
        </w:rPr>
        <w:t>Tratamiento para el Municipio de León, Guanajuato..</w:t>
      </w:r>
    </w:p>
    <w:p w14:paraId="7A3C9478" w14:textId="0118B862" w:rsidR="00BD267D" w:rsidRDefault="00BD267D" w:rsidP="00986380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MX"/>
        </w:rPr>
      </w:pPr>
    </w:p>
    <w:p w14:paraId="706E8005" w14:textId="69753BEA" w:rsidR="00BD267D" w:rsidRDefault="00BD267D" w:rsidP="00BD267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  <w:lang w:eastAsia="es-MX"/>
        </w:rPr>
      </w:pPr>
      <w:r>
        <w:rPr>
          <w:rFonts w:ascii="Helvetica" w:hAnsi="Helvetica" w:cs="Helvetica"/>
          <w:color w:val="000000"/>
          <w:sz w:val="20"/>
          <w:szCs w:val="20"/>
          <w:lang w:eastAsia="es-MX"/>
        </w:rPr>
        <w:t>Director General del SAPAL-Rural</w:t>
      </w:r>
      <w:r>
        <w:rPr>
          <w:rFonts w:ascii="Helvetica" w:hAnsi="Helvetica" w:cs="Helvetica"/>
          <w:color w:val="000000"/>
          <w:sz w:val="20"/>
          <w:szCs w:val="20"/>
          <w:lang w:eastAsia="es-MX"/>
        </w:rPr>
        <w:tab/>
      </w:r>
      <w:r>
        <w:rPr>
          <w:rFonts w:ascii="Helvetica" w:hAnsi="Helvetica" w:cs="Helvetica"/>
          <w:color w:val="000000"/>
          <w:sz w:val="20"/>
          <w:szCs w:val="20"/>
          <w:lang w:eastAsia="es-MX"/>
        </w:rPr>
        <w:tab/>
      </w:r>
      <w:r>
        <w:rPr>
          <w:rFonts w:ascii="Helvetica" w:hAnsi="Helvetica" w:cs="Helvetica"/>
          <w:color w:val="000000"/>
          <w:sz w:val="20"/>
          <w:szCs w:val="20"/>
          <w:lang w:eastAsia="es-MX"/>
        </w:rPr>
        <w:tab/>
        <w:t xml:space="preserve"> Jefe de Administración Financiera y Comercial</w:t>
      </w:r>
    </w:p>
    <w:p w14:paraId="2C663396" w14:textId="6AF697B2" w:rsidR="00BD267D" w:rsidRPr="00986380" w:rsidRDefault="00BD267D" w:rsidP="00BD267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="Helvetica" w:hAnsi="Helvetica" w:cs="Helvetica"/>
          <w:color w:val="000000"/>
          <w:sz w:val="20"/>
          <w:szCs w:val="20"/>
          <w:lang w:eastAsia="es-MX"/>
        </w:rPr>
        <w:t xml:space="preserve">Ing. Enrique de Haro Maldonado </w:t>
      </w:r>
      <w:r>
        <w:rPr>
          <w:rFonts w:ascii="Helvetica" w:hAnsi="Helvetica" w:cs="Helvetica"/>
          <w:color w:val="000000"/>
          <w:sz w:val="20"/>
          <w:szCs w:val="20"/>
          <w:lang w:eastAsia="es-MX"/>
        </w:rPr>
        <w:tab/>
      </w:r>
      <w:r>
        <w:rPr>
          <w:rFonts w:ascii="Helvetica" w:hAnsi="Helvetica" w:cs="Helvetica"/>
          <w:color w:val="000000"/>
          <w:sz w:val="20"/>
          <w:szCs w:val="20"/>
          <w:lang w:eastAsia="es-MX"/>
        </w:rPr>
        <w:tab/>
      </w:r>
      <w:r>
        <w:rPr>
          <w:rFonts w:ascii="Helvetica" w:hAnsi="Helvetica" w:cs="Helvetica"/>
          <w:color w:val="000000"/>
          <w:sz w:val="20"/>
          <w:szCs w:val="20"/>
          <w:lang w:eastAsia="es-MX"/>
        </w:rPr>
        <w:tab/>
        <w:t xml:space="preserve">C.P. Luis Enrique Hernández </w:t>
      </w:r>
      <w:proofErr w:type="spellStart"/>
      <w:r>
        <w:rPr>
          <w:rFonts w:ascii="Helvetica" w:hAnsi="Helvetica" w:cs="Helvetica"/>
          <w:color w:val="000000"/>
          <w:sz w:val="20"/>
          <w:szCs w:val="20"/>
          <w:lang w:eastAsia="es-MX"/>
        </w:rPr>
        <w:t>Hernández</w:t>
      </w:r>
      <w:proofErr w:type="spellEnd"/>
    </w:p>
    <w:p w14:paraId="2859DF9E" w14:textId="1213B600" w:rsidR="00986380" w:rsidRPr="00986380" w:rsidRDefault="00986380" w:rsidP="00986380">
      <w:pPr>
        <w:pBdr>
          <w:bottom w:val="single" w:sz="12" w:space="1" w:color="auto"/>
        </w:pBdr>
        <w:tabs>
          <w:tab w:val="left" w:leader="underscore" w:pos="9639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62D148A5" w14:textId="77777777" w:rsidR="00986380" w:rsidRDefault="00986380" w:rsidP="003F2251">
      <w:pPr>
        <w:pBdr>
          <w:bottom w:val="single" w:sz="12" w:space="1" w:color="auto"/>
        </w:pBdr>
        <w:tabs>
          <w:tab w:val="left" w:leader="underscore" w:pos="9639"/>
        </w:tabs>
        <w:spacing w:after="0" w:line="240" w:lineRule="auto"/>
        <w:jc w:val="both"/>
        <w:rPr>
          <w:rFonts w:cs="Calibri"/>
        </w:rPr>
      </w:pPr>
    </w:p>
    <w:p w14:paraId="489714FD" w14:textId="77777777" w:rsidR="003F2251" w:rsidRDefault="003F2251" w:rsidP="003F2251">
      <w:pPr>
        <w:tabs>
          <w:tab w:val="left" w:leader="underscore" w:pos="9639"/>
        </w:tabs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94D112B" w14:textId="12F6A22F" w:rsidR="000B7810" w:rsidRPr="00385767" w:rsidRDefault="003F2251" w:rsidP="00385767">
      <w:pPr>
        <w:tabs>
          <w:tab w:val="left" w:leader="underscore" w:pos="9639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2405A">
        <w:rPr>
          <w:rFonts w:asciiTheme="minorHAnsi" w:hAnsiTheme="minorHAnsi" w:cstheme="minorHAnsi"/>
          <w:b/>
          <w:sz w:val="24"/>
          <w:szCs w:val="24"/>
        </w:rPr>
        <w:t xml:space="preserve">Nota </w:t>
      </w:r>
      <w:r>
        <w:rPr>
          <w:rFonts w:asciiTheme="minorHAnsi" w:hAnsiTheme="minorHAnsi" w:cstheme="minorHAnsi"/>
          <w:b/>
          <w:sz w:val="24"/>
          <w:szCs w:val="24"/>
        </w:rPr>
        <w:t>1</w:t>
      </w:r>
      <w:r w:rsidRPr="0012405A">
        <w:rPr>
          <w:rFonts w:asciiTheme="minorHAnsi" w:hAnsiTheme="minorHAnsi" w:cstheme="minorHAnsi"/>
          <w:sz w:val="24"/>
          <w:szCs w:val="24"/>
        </w:rPr>
        <w:t>: En cada una de las 16 notas de gestión administrativa el ente público deberá poner la nota correspondiente o en su caso la leyenda “Esta nota no le aplica al ente público” y una breve explicación del motivo por el cual no le es aplicable.</w:t>
      </w:r>
    </w:p>
    <w:sectPr w:rsidR="000B7810" w:rsidRPr="00385767" w:rsidSect="0061523F">
      <w:headerReference w:type="default" r:id="rId12"/>
      <w:footerReference w:type="default" r:id="rId13"/>
      <w:pgSz w:w="12240" w:h="15840" w:code="1"/>
      <w:pgMar w:top="1418" w:right="1134" w:bottom="709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1D9DFF" w14:textId="77777777" w:rsidR="00AC6A1A" w:rsidRDefault="00AC6A1A" w:rsidP="00E00323">
      <w:pPr>
        <w:spacing w:after="0" w:line="240" w:lineRule="auto"/>
      </w:pPr>
      <w:r>
        <w:separator/>
      </w:r>
    </w:p>
  </w:endnote>
  <w:endnote w:type="continuationSeparator" w:id="0">
    <w:p w14:paraId="3062AA65" w14:textId="77777777" w:rsidR="00AC6A1A" w:rsidRDefault="00AC6A1A" w:rsidP="00E00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64267310"/>
      <w:docPartObj>
        <w:docPartGallery w:val="Page Numbers (Bottom of Page)"/>
        <w:docPartUnique/>
      </w:docPartObj>
    </w:sdtPr>
    <w:sdtEndPr/>
    <w:sdtContent>
      <w:p w14:paraId="45A1378E" w14:textId="3208FEF5" w:rsidR="00AC6A1A" w:rsidRDefault="00AC6A1A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4576" w:rsidRPr="00DF4576">
          <w:rPr>
            <w:noProof/>
            <w:lang w:val="es-ES"/>
          </w:rPr>
          <w:t>25</w:t>
        </w:r>
        <w:r>
          <w:fldChar w:fldCharType="end"/>
        </w:r>
      </w:p>
    </w:sdtContent>
  </w:sdt>
  <w:p w14:paraId="37983FFD" w14:textId="77777777" w:rsidR="00AC6A1A" w:rsidRDefault="00AC6A1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7041C2" w14:textId="77777777" w:rsidR="00AC6A1A" w:rsidRDefault="00AC6A1A" w:rsidP="00E00323">
      <w:pPr>
        <w:spacing w:after="0" w:line="240" w:lineRule="auto"/>
      </w:pPr>
      <w:r>
        <w:separator/>
      </w:r>
    </w:p>
  </w:footnote>
  <w:footnote w:type="continuationSeparator" w:id="0">
    <w:p w14:paraId="5DCBB3F2" w14:textId="77777777" w:rsidR="00AC6A1A" w:rsidRDefault="00AC6A1A" w:rsidP="00E00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5C548F" w14:textId="6FBC4433" w:rsidR="00AC6A1A" w:rsidRDefault="00AC6A1A" w:rsidP="00A4610E">
    <w:pPr>
      <w:pStyle w:val="Encabezado"/>
      <w:spacing w:after="0" w:line="240" w:lineRule="auto"/>
      <w:jc w:val="center"/>
    </w:pPr>
    <w:r>
      <w:t xml:space="preserve">Sistema de Agua Potable y Alcantarillado en la Zona Rural del Municipio de León, Guanajuato </w:t>
    </w:r>
  </w:p>
  <w:p w14:paraId="651A4C4F" w14:textId="18976513" w:rsidR="00AC6A1A" w:rsidRDefault="00AC6A1A" w:rsidP="00A4610E">
    <w:pPr>
      <w:pStyle w:val="Encabezado"/>
      <w:spacing w:after="0" w:line="240" w:lineRule="auto"/>
      <w:jc w:val="center"/>
    </w:pPr>
    <w:r w:rsidRPr="00A4610E">
      <w:t xml:space="preserve">CORRESPONDINTES AL </w:t>
    </w:r>
    <w:r>
      <w:t>31 de DICIEMBRE 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400486"/>
    <w:multiLevelType w:val="hybridMultilevel"/>
    <w:tmpl w:val="F7A2A22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2A246B"/>
    <w:multiLevelType w:val="hybridMultilevel"/>
    <w:tmpl w:val="A1362B1A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0F1837"/>
    <w:multiLevelType w:val="hybridMultilevel"/>
    <w:tmpl w:val="58A8A7E8"/>
    <w:lvl w:ilvl="0" w:tplc="9FB466E8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9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E76"/>
    <w:rsid w:val="00023848"/>
    <w:rsid w:val="00040D4F"/>
    <w:rsid w:val="00076F16"/>
    <w:rsid w:val="00084BED"/>
    <w:rsid w:val="00084EAE"/>
    <w:rsid w:val="00091CE6"/>
    <w:rsid w:val="000937B7"/>
    <w:rsid w:val="0009481B"/>
    <w:rsid w:val="0009742D"/>
    <w:rsid w:val="000A294B"/>
    <w:rsid w:val="000B0844"/>
    <w:rsid w:val="000B7810"/>
    <w:rsid w:val="000B7F44"/>
    <w:rsid w:val="000C3365"/>
    <w:rsid w:val="00121C90"/>
    <w:rsid w:val="00122764"/>
    <w:rsid w:val="0012405A"/>
    <w:rsid w:val="00134852"/>
    <w:rsid w:val="00154BA3"/>
    <w:rsid w:val="0016244A"/>
    <w:rsid w:val="00175FB9"/>
    <w:rsid w:val="00193F04"/>
    <w:rsid w:val="001973A2"/>
    <w:rsid w:val="00197421"/>
    <w:rsid w:val="001C1CB4"/>
    <w:rsid w:val="001C75F2"/>
    <w:rsid w:val="001D2063"/>
    <w:rsid w:val="001D43E9"/>
    <w:rsid w:val="001F4C4C"/>
    <w:rsid w:val="001F719C"/>
    <w:rsid w:val="00202AC5"/>
    <w:rsid w:val="00202B3B"/>
    <w:rsid w:val="00241DEE"/>
    <w:rsid w:val="002716E8"/>
    <w:rsid w:val="002909E6"/>
    <w:rsid w:val="002D2027"/>
    <w:rsid w:val="002E43B9"/>
    <w:rsid w:val="002E795F"/>
    <w:rsid w:val="002E79C2"/>
    <w:rsid w:val="003163FC"/>
    <w:rsid w:val="00321176"/>
    <w:rsid w:val="00332FE7"/>
    <w:rsid w:val="003453CA"/>
    <w:rsid w:val="00372F4F"/>
    <w:rsid w:val="00385767"/>
    <w:rsid w:val="00387008"/>
    <w:rsid w:val="003A559D"/>
    <w:rsid w:val="003C13FC"/>
    <w:rsid w:val="003D3570"/>
    <w:rsid w:val="003D42BB"/>
    <w:rsid w:val="003F2251"/>
    <w:rsid w:val="003F3417"/>
    <w:rsid w:val="003F44B3"/>
    <w:rsid w:val="00421530"/>
    <w:rsid w:val="00422EF6"/>
    <w:rsid w:val="00426710"/>
    <w:rsid w:val="004341BA"/>
    <w:rsid w:val="00435A87"/>
    <w:rsid w:val="00440D2E"/>
    <w:rsid w:val="0044532F"/>
    <w:rsid w:val="0049726F"/>
    <w:rsid w:val="004A58C8"/>
    <w:rsid w:val="004F234D"/>
    <w:rsid w:val="00525E4E"/>
    <w:rsid w:val="0054701E"/>
    <w:rsid w:val="00570367"/>
    <w:rsid w:val="00571936"/>
    <w:rsid w:val="005A212B"/>
    <w:rsid w:val="005B1699"/>
    <w:rsid w:val="005B4713"/>
    <w:rsid w:val="005B5531"/>
    <w:rsid w:val="005D3E43"/>
    <w:rsid w:val="005E231E"/>
    <w:rsid w:val="005E5042"/>
    <w:rsid w:val="005F0D5C"/>
    <w:rsid w:val="0061523F"/>
    <w:rsid w:val="00631F5F"/>
    <w:rsid w:val="00643FA2"/>
    <w:rsid w:val="00657009"/>
    <w:rsid w:val="00677BA2"/>
    <w:rsid w:val="00681C79"/>
    <w:rsid w:val="00692341"/>
    <w:rsid w:val="006B0EA9"/>
    <w:rsid w:val="006C0ADB"/>
    <w:rsid w:val="006C2335"/>
    <w:rsid w:val="006F49F8"/>
    <w:rsid w:val="00706159"/>
    <w:rsid w:val="00717F49"/>
    <w:rsid w:val="00725DDF"/>
    <w:rsid w:val="00734962"/>
    <w:rsid w:val="007610BC"/>
    <w:rsid w:val="00767665"/>
    <w:rsid w:val="007714AB"/>
    <w:rsid w:val="0078186D"/>
    <w:rsid w:val="007B1B87"/>
    <w:rsid w:val="007D1E76"/>
    <w:rsid w:val="007D4484"/>
    <w:rsid w:val="00805E47"/>
    <w:rsid w:val="0086305B"/>
    <w:rsid w:val="0086459F"/>
    <w:rsid w:val="008C2159"/>
    <w:rsid w:val="008C25D5"/>
    <w:rsid w:val="008C3BB8"/>
    <w:rsid w:val="008D6842"/>
    <w:rsid w:val="008E076C"/>
    <w:rsid w:val="0092765C"/>
    <w:rsid w:val="0098097F"/>
    <w:rsid w:val="00986380"/>
    <w:rsid w:val="00997C76"/>
    <w:rsid w:val="009C4A71"/>
    <w:rsid w:val="009C5380"/>
    <w:rsid w:val="009E2711"/>
    <w:rsid w:val="00A314F2"/>
    <w:rsid w:val="00A40850"/>
    <w:rsid w:val="00A4610E"/>
    <w:rsid w:val="00A70A97"/>
    <w:rsid w:val="00A72F97"/>
    <w:rsid w:val="00A730E0"/>
    <w:rsid w:val="00A970B1"/>
    <w:rsid w:val="00AA41E5"/>
    <w:rsid w:val="00AA6B94"/>
    <w:rsid w:val="00AB2AC4"/>
    <w:rsid w:val="00AB722B"/>
    <w:rsid w:val="00AC6A1A"/>
    <w:rsid w:val="00AD3E94"/>
    <w:rsid w:val="00AE1F6A"/>
    <w:rsid w:val="00AE21E8"/>
    <w:rsid w:val="00B10E9C"/>
    <w:rsid w:val="00B11613"/>
    <w:rsid w:val="00B43828"/>
    <w:rsid w:val="00B47200"/>
    <w:rsid w:val="00B64CFA"/>
    <w:rsid w:val="00B72C63"/>
    <w:rsid w:val="00B831E2"/>
    <w:rsid w:val="00BD267D"/>
    <w:rsid w:val="00C70D0B"/>
    <w:rsid w:val="00C95803"/>
    <w:rsid w:val="00C97E1E"/>
    <w:rsid w:val="00CB41C4"/>
    <w:rsid w:val="00CB4C47"/>
    <w:rsid w:val="00CF1316"/>
    <w:rsid w:val="00CF2EBD"/>
    <w:rsid w:val="00D12794"/>
    <w:rsid w:val="00D13C44"/>
    <w:rsid w:val="00D454F7"/>
    <w:rsid w:val="00D6379C"/>
    <w:rsid w:val="00D92086"/>
    <w:rsid w:val="00D975B1"/>
    <w:rsid w:val="00DA1B82"/>
    <w:rsid w:val="00DA6BD3"/>
    <w:rsid w:val="00DE2FB9"/>
    <w:rsid w:val="00DE78E9"/>
    <w:rsid w:val="00DF4576"/>
    <w:rsid w:val="00E00323"/>
    <w:rsid w:val="00E462C8"/>
    <w:rsid w:val="00E74967"/>
    <w:rsid w:val="00E7559F"/>
    <w:rsid w:val="00E911C0"/>
    <w:rsid w:val="00E923C5"/>
    <w:rsid w:val="00EA37F5"/>
    <w:rsid w:val="00EA7915"/>
    <w:rsid w:val="00EB4684"/>
    <w:rsid w:val="00EF40E3"/>
    <w:rsid w:val="00EF58F1"/>
    <w:rsid w:val="00F276AB"/>
    <w:rsid w:val="00F27C1B"/>
    <w:rsid w:val="00F3013F"/>
    <w:rsid w:val="00F320AA"/>
    <w:rsid w:val="00F364D2"/>
    <w:rsid w:val="00F46719"/>
    <w:rsid w:val="00F54F6F"/>
    <w:rsid w:val="00F65A92"/>
    <w:rsid w:val="00F80840"/>
    <w:rsid w:val="00FB2D9F"/>
    <w:rsid w:val="00FB39F6"/>
    <w:rsid w:val="00FD380A"/>
    <w:rsid w:val="00FD6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1547DA28"/>
  <w15:chartTrackingRefBased/>
  <w15:docId w15:val="{23FE9072-35B7-45F9-8FCE-9AFD1097D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1E76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F4671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C336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D1E76"/>
    <w:pPr>
      <w:ind w:left="720"/>
      <w:contextualSpacing/>
    </w:pPr>
  </w:style>
  <w:style w:type="character" w:styleId="Hipervnculo">
    <w:name w:val="Hyperlink"/>
    <w:uiPriority w:val="99"/>
    <w:unhideWhenUsed/>
    <w:rsid w:val="007D1E76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E0032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E00323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E0032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E00323"/>
    <w:rPr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003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00323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E003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  <w:style w:type="paragraph" w:styleId="Ttulo">
    <w:name w:val="Title"/>
    <w:basedOn w:val="Normal"/>
    <w:next w:val="Normal"/>
    <w:link w:val="TtuloCar"/>
    <w:uiPriority w:val="10"/>
    <w:qFormat/>
    <w:rsid w:val="00AA41E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A41E5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table" w:styleId="Tablaconcuadrcula">
    <w:name w:val="Table Grid"/>
    <w:basedOn w:val="Tablanormal"/>
    <w:uiPriority w:val="59"/>
    <w:rsid w:val="003453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0C336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F4671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F46719"/>
    <w:pPr>
      <w:spacing w:line="259" w:lineRule="auto"/>
      <w:outlineLvl w:val="9"/>
    </w:pPr>
    <w:rPr>
      <w:lang w:eastAsia="es-MX"/>
    </w:rPr>
  </w:style>
  <w:style w:type="paragraph" w:styleId="TDC2">
    <w:name w:val="toc 2"/>
    <w:basedOn w:val="Normal"/>
    <w:next w:val="Normal"/>
    <w:autoRedefine/>
    <w:uiPriority w:val="39"/>
    <w:unhideWhenUsed/>
    <w:rsid w:val="00F46719"/>
    <w:pPr>
      <w:spacing w:after="100"/>
      <w:ind w:left="220"/>
    </w:pPr>
  </w:style>
  <w:style w:type="character" w:customStyle="1" w:styleId="apple-converted-space">
    <w:name w:val="apple-converted-space"/>
    <w:basedOn w:val="Fuentedeprrafopredeter"/>
    <w:rsid w:val="003F22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4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63975786EB30C4EA7A65B97DC142E51" ma:contentTypeVersion="0" ma:contentTypeDescription="Crear nuevo documento." ma:contentTypeScope="" ma:versionID="43043afa9d20f6bcf2c3be188f69e90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E6EABB-6EFE-483A-BB07-B006EAE770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602599E-C54E-40EB-B3BD-41B2F70A96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CBD850-722C-4B0A-8EDE-7CABA60C709E}">
  <ds:schemaRefs>
    <ds:schemaRef ds:uri="http://purl.org/dc/terms/"/>
    <ds:schemaRef ds:uri="http://schemas.microsoft.com/office/2006/documentManagement/types"/>
    <ds:schemaRef ds:uri="http://www.w3.org/XML/1998/namespace"/>
    <ds:schemaRef ds:uri="http://purl.org/dc/dcmitype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0ADAA2DE-3CA7-47EB-9843-B5D91792C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1751</CharactersWithSpaces>
  <SharedDoc>false</SharedDoc>
  <HLinks>
    <vt:vector size="6" baseType="variant">
      <vt:variant>
        <vt:i4>6357108</vt:i4>
      </vt:variant>
      <vt:variant>
        <vt:i4>0</vt:i4>
      </vt:variant>
      <vt:variant>
        <vt:i4>0</vt:i4>
      </vt:variant>
      <vt:variant>
        <vt:i4>5</vt:i4>
      </vt:variant>
      <vt:variant>
        <vt:lpwstr>../../../../../../../../lquiroz/AppData/Local/Microsoft/Windows/Temporary Internet Files/Content.Outlook/HBGSO9P3/MODELO CTA 2013.pptx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acorona</dc:creator>
  <cp:keywords/>
  <cp:lastModifiedBy>Luis Enrique Hernández Hernández</cp:lastModifiedBy>
  <cp:revision>2</cp:revision>
  <cp:lastPrinted>2020-10-23T20:30:00Z</cp:lastPrinted>
  <dcterms:created xsi:type="dcterms:W3CDTF">2021-01-15T01:48:00Z</dcterms:created>
  <dcterms:modified xsi:type="dcterms:W3CDTF">2021-01-15T01:48:00Z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0x010100B63975786EB30C4EA7A65B97DC142E51</vt:lpwstr>
  </property>
</Properties>
</file>